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竞争性谈判流程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成立谈判小组，谈判小组由使用部门的代表和从公司各部门选择的有关技术、经济等方面的专业人员组成，成员人数为不少于3人以上的单数。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谈判小组制定谈判文件，在公司网站发布采购信息，确定参加谈判的供应商名单，谈判小组从符合资格条件的供应商名单中确定不少于3家供应商参加谈判，并向其提供谈判文件。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eastAsia" w:ascii="Calibri" w:hAnsi="Calibri" w:eastAsia="仿宋" w:cs="仿宋_GB231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Calibri" w:hAnsi="Calibri" w:eastAsia="仿宋" w:cs="仿宋_GB2312"/>
          <w:kern w:val="2"/>
          <w:sz w:val="32"/>
          <w:szCs w:val="32"/>
          <w:u w:val="none"/>
          <w:shd w:val="clear"/>
          <w:lang w:val="en-US" w:eastAsia="zh-CN" w:bidi="ar-SA"/>
        </w:rPr>
        <w:t>谈判。谈判小组所有成员集中与供应商分别进行谈判。在谈判中，谈判的任何一方不得透露与谈判有关的其他供应商的技术资料、价格和其他信息。谈判文件有实质性变动的，谈判小组应当以书面形式通知所有参加谈判的供应商。谈判文件不能完整、明确列明采购需求，需要由供应商提供最终方案或者解决方案的，在谈判结束后，谈判小组应当按照少数服从多数的原则，投票推荐3家以上供应商的方案或者解决方案，并要求其在规定时间内提交最后报价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 w:ascii="Calibri" w:hAnsi="Calibri" w:eastAsia="仿宋" w:cs="仿宋_GB2312"/>
          <w:kern w:val="2"/>
          <w:sz w:val="32"/>
          <w:szCs w:val="32"/>
          <w:u w:val="none"/>
          <w:shd w:val="clear"/>
          <w:lang w:val="en-US" w:eastAsia="zh-CN" w:bidi="ar-SA"/>
        </w:rPr>
        <w:t>确定成交供应商。谈判小组根据参加谈判的供应商最后报价，按符合采购需求、质量和服务相等的原则确定成交供应商，谈判小组将结果通知所有参加谈判的供应商，使用部门与中选人签订合同</w:t>
      </w:r>
      <w:r>
        <w:rPr>
          <w:rFonts w:hint="eastAsia" w:cs="仿宋_GB2312"/>
          <w:kern w:val="2"/>
          <w:sz w:val="32"/>
          <w:szCs w:val="32"/>
          <w:u w:val="none"/>
          <w:shd w:val="clear"/>
          <w:lang w:val="en-US" w:eastAsia="zh-CN" w:bidi="ar-SA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绵阳市水利规划设计研究院有限公司“</w:t>
      </w:r>
      <w:r>
        <w:rPr>
          <w:rFonts w:hint="eastAsia"/>
          <w:color w:val="FF0000"/>
          <w:sz w:val="36"/>
          <w:szCs w:val="44"/>
          <w:lang w:val="en-US" w:eastAsia="zh-CN"/>
        </w:rPr>
        <w:t>游仙区水利</w:t>
      </w:r>
      <w:r>
        <w:rPr>
          <w:rFonts w:hint="eastAsia"/>
          <w:sz w:val="36"/>
          <w:szCs w:val="44"/>
          <w:lang w:val="en-US" w:eastAsia="zh-CN"/>
        </w:rPr>
        <w:t>”施工劳务竞争性谈判公告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项目名称：绵阳市水利规划设计研究院有限公司“</w:t>
      </w:r>
      <w:r>
        <w:rPr>
          <w:rFonts w:hint="eastAsia"/>
          <w:color w:val="FF0000"/>
          <w:sz w:val="28"/>
          <w:szCs w:val="36"/>
          <w:lang w:val="en-US" w:eastAsia="zh-CN"/>
        </w:rPr>
        <w:t>游仙区水利</w:t>
      </w:r>
      <w:r>
        <w:rPr>
          <w:rFonts w:hint="eastAsia"/>
          <w:sz w:val="28"/>
          <w:szCs w:val="36"/>
          <w:lang w:val="en-US" w:eastAsia="zh-CN"/>
        </w:rPr>
        <w:t>”施工劳务</w:t>
      </w:r>
    </w:p>
    <w:p>
      <w:pPr>
        <w:rPr>
          <w:rFonts w:hint="eastAsia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ascii="Calibri" w:hAnsi="Calibri" w:eastAsia="仿宋" w:cs="仿宋_GB2312"/>
          <w:kern w:val="2"/>
          <w:sz w:val="28"/>
          <w:szCs w:val="36"/>
          <w:lang w:val="en-US" w:eastAsia="zh-CN" w:bidi="ar-SA"/>
        </w:rPr>
        <w:t>项目地址：</w:t>
      </w:r>
      <w:r>
        <w:rPr>
          <w:rFonts w:hint="eastAsia" w:cs="仿宋_GB2312"/>
          <w:kern w:val="2"/>
          <w:sz w:val="28"/>
          <w:szCs w:val="36"/>
          <w:lang w:val="en-US" w:eastAsia="zh-CN" w:bidi="ar-SA"/>
        </w:rPr>
        <w:t>游仙区境内</w:t>
      </w:r>
    </w:p>
    <w:p>
      <w:pPr>
        <w:pStyle w:val="2"/>
        <w:rPr>
          <w:rFonts w:hint="eastAsia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cs="仿宋_GB2312"/>
          <w:kern w:val="2"/>
          <w:sz w:val="28"/>
          <w:szCs w:val="36"/>
          <w:lang w:val="en-US" w:eastAsia="zh-CN" w:bidi="ar-SA"/>
        </w:rPr>
        <w:t>合同规模：清单内所有施工劳务</w:t>
      </w:r>
    </w:p>
    <w:p>
      <w:pPr>
        <w:pStyle w:val="2"/>
        <w:rPr>
          <w:rFonts w:hint="default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cs="仿宋_GB2312"/>
          <w:kern w:val="2"/>
          <w:sz w:val="28"/>
          <w:szCs w:val="36"/>
          <w:lang w:val="en-US" w:eastAsia="zh-CN" w:bidi="ar-SA"/>
        </w:rPr>
        <w:t>工期：150日历天</w:t>
      </w:r>
    </w:p>
    <w:p>
      <w:pPr>
        <w:rPr>
          <w:rFonts w:hint="eastAsia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cs="仿宋_GB2312"/>
          <w:kern w:val="2"/>
          <w:sz w:val="28"/>
          <w:szCs w:val="36"/>
          <w:lang w:val="en-US" w:eastAsia="zh-CN" w:bidi="ar-SA"/>
        </w:rPr>
        <w:t>竞谈控制价：2541613.6元</w:t>
      </w:r>
    </w:p>
    <w:p>
      <w:pPr>
        <w:pStyle w:val="2"/>
        <w:rPr>
          <w:rFonts w:hint="eastAsia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cs="仿宋_GB2312"/>
          <w:kern w:val="2"/>
          <w:sz w:val="28"/>
          <w:szCs w:val="36"/>
          <w:lang w:val="en-US" w:eastAsia="zh-CN" w:bidi="ar-SA"/>
        </w:rPr>
        <w:t>竞谈资格人要求：1.具有独立法人资格；</w:t>
      </w:r>
    </w:p>
    <w:p>
      <w:pPr>
        <w:numPr>
          <w:ilvl w:val="0"/>
          <w:numId w:val="0"/>
        </w:numPr>
        <w:ind w:firstLine="2800" w:firstLineChars="1000"/>
        <w:rPr>
          <w:rFonts w:hint="default"/>
          <w:sz w:val="36"/>
          <w:szCs w:val="36"/>
          <w:lang w:val="en-US" w:eastAsia="zh-CN"/>
        </w:rPr>
      </w:pPr>
      <w:r>
        <w:rPr>
          <w:rFonts w:hint="eastAsia" w:cs="仿宋_GB2312"/>
          <w:kern w:val="2"/>
          <w:sz w:val="28"/>
          <w:szCs w:val="36"/>
          <w:lang w:val="en-US" w:eastAsia="zh-CN" w:bidi="ar-SA"/>
        </w:rPr>
        <w:t>2.具有行政主管部门颁发的施工劳务资质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报名日期：</w:t>
      </w:r>
    </w:p>
    <w:p>
      <w:pPr>
        <w:rPr>
          <w:rFonts w:hint="eastAsia" w:ascii="Calibri" w:hAnsi="Calibri" w:eastAsia="仿宋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ascii="Calibri" w:hAnsi="Calibri" w:eastAsia="仿宋" w:cs="仿宋_GB2312"/>
          <w:kern w:val="2"/>
          <w:sz w:val="28"/>
          <w:szCs w:val="36"/>
          <w:lang w:val="en-US" w:eastAsia="zh-CN" w:bidi="ar-SA"/>
        </w:rPr>
        <w:t>报名地址</w:t>
      </w:r>
      <w:r>
        <w:rPr>
          <w:rFonts w:hint="eastAsia" w:cs="仿宋_GB2312"/>
          <w:kern w:val="2"/>
          <w:sz w:val="28"/>
          <w:szCs w:val="36"/>
          <w:lang w:val="en-US" w:eastAsia="zh-CN" w:bidi="ar-SA"/>
        </w:rPr>
        <w:t>：</w:t>
      </w:r>
    </w:p>
    <w:p>
      <w:pPr>
        <w:pStyle w:val="2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联系方式：     邮箱：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绵阳市水利规划设计研究院有限公司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2023年2月  日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竞谈文件格式：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报价函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格式自拟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法定代表人身份证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授权委托书（不是法定代表人参加时适用）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格式自拟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承诺函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本公司承诺本次竞谈的一切资料真实有效；</w:t>
      </w:r>
    </w:p>
    <w:p>
      <w:pPr>
        <w:rPr>
          <w:rFonts w:hint="eastAsia" w:ascii="Calibri" w:hAnsi="Calibri" w:eastAsia="仿宋" w:cs="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Calibri" w:hAnsi="Calibri" w:eastAsia="仿宋" w:cs="仿宋_GB2312"/>
          <w:kern w:val="2"/>
          <w:sz w:val="24"/>
          <w:szCs w:val="32"/>
          <w:lang w:val="en-US" w:eastAsia="zh-CN" w:bidi="ar-SA"/>
        </w:rPr>
        <w:t>本公司承诺中选后，严格按要求施工，</w:t>
      </w:r>
      <w:r>
        <w:rPr>
          <w:rFonts w:hint="eastAsia" w:cs="仿宋_GB2312"/>
          <w:kern w:val="2"/>
          <w:sz w:val="24"/>
          <w:szCs w:val="32"/>
          <w:lang w:val="en-US" w:eastAsia="zh-CN" w:bidi="ar-SA"/>
        </w:rPr>
        <w:t>质量</w:t>
      </w:r>
      <w:r>
        <w:rPr>
          <w:rFonts w:hint="eastAsia" w:ascii="Calibri" w:hAnsi="Calibri" w:eastAsia="仿宋" w:cs="仿宋_GB2312"/>
          <w:kern w:val="2"/>
          <w:sz w:val="24"/>
          <w:szCs w:val="32"/>
          <w:lang w:val="en-US" w:eastAsia="zh-CN" w:bidi="ar-SA"/>
        </w:rPr>
        <w:t>达到设计要求之工艺、标准；</w:t>
      </w:r>
    </w:p>
    <w:p>
      <w:pPr>
        <w:pStyle w:val="2"/>
        <w:rPr>
          <w:rFonts w:hint="eastAsia" w:ascii="Calibri" w:hAnsi="Calibri" w:eastAsia="仿宋" w:cs="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Calibri" w:hAnsi="Calibri" w:eastAsia="仿宋" w:cs="仿宋_GB2312"/>
          <w:kern w:val="2"/>
          <w:sz w:val="24"/>
          <w:szCs w:val="32"/>
          <w:lang w:val="en-US" w:eastAsia="zh-CN" w:bidi="ar-SA"/>
        </w:rPr>
        <w:t>本公司承诺</w:t>
      </w:r>
      <w:r>
        <w:rPr>
          <w:rFonts w:hint="eastAsia" w:cs="仿宋_GB2312"/>
          <w:kern w:val="2"/>
          <w:sz w:val="24"/>
          <w:szCs w:val="32"/>
          <w:lang w:val="en-US" w:eastAsia="zh-CN" w:bidi="ar-SA"/>
        </w:rPr>
        <w:t>中选后</w:t>
      </w:r>
      <w:r>
        <w:rPr>
          <w:rFonts w:hint="eastAsia" w:ascii="Calibri" w:hAnsi="Calibri" w:eastAsia="仿宋" w:cs="仿宋_GB2312"/>
          <w:kern w:val="2"/>
          <w:sz w:val="24"/>
          <w:szCs w:val="32"/>
          <w:lang w:val="en-US" w:eastAsia="zh-CN" w:bidi="ar-SA"/>
        </w:rPr>
        <w:t>在要求工期内完成相应项目，造成窝工、浪费劳动力损失自行承担；</w:t>
      </w:r>
    </w:p>
    <w:p>
      <w:pPr>
        <w:rPr>
          <w:rFonts w:hint="eastAsia" w:cs="仿宋_GB2312"/>
          <w:kern w:val="2"/>
          <w:sz w:val="24"/>
          <w:szCs w:val="32"/>
          <w:lang w:val="en-US" w:eastAsia="zh-CN" w:bidi="ar-SA"/>
        </w:rPr>
      </w:pPr>
      <w:r>
        <w:rPr>
          <w:rFonts w:hint="eastAsia" w:cs="仿宋_GB2312"/>
          <w:kern w:val="2"/>
          <w:sz w:val="24"/>
          <w:szCs w:val="32"/>
          <w:lang w:val="en-US" w:eastAsia="zh-CN" w:bidi="ar-SA"/>
        </w:rPr>
        <w:t>本公司承诺劳务费用可延迟到贵公司从甲方拨到工程款后支付；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仿宋_GB2312"/>
          <w:kern w:val="2"/>
          <w:sz w:val="24"/>
          <w:szCs w:val="32"/>
          <w:lang w:val="en-US" w:eastAsia="zh-CN" w:bidi="ar-SA"/>
        </w:rPr>
        <w:t>本公司承诺如违反相关合同约定或法律法规，贵单位有权解除合同，除已完成内容需要支付外，贵单位不承担我司其他损失。需要支付的已完工内容待审计结束后按审计报告进行支付。</w:t>
      </w:r>
    </w:p>
    <w:p>
      <w:pPr>
        <w:pStyle w:val="2"/>
        <w:rPr>
          <w:rFonts w:hint="eastAsia" w:cs="仿宋_GB2312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cs="仿宋_GB2312"/>
          <w:kern w:val="2"/>
          <w:sz w:val="24"/>
          <w:szCs w:val="32"/>
          <w:lang w:val="en-US" w:eastAsia="zh-CN" w:bidi="ar-SA"/>
        </w:rPr>
      </w:pPr>
    </w:p>
    <w:p>
      <w:pPr>
        <w:pStyle w:val="2"/>
        <w:rPr>
          <w:rFonts w:hint="eastAsia" w:cs="仿宋_GB2312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cs="仿宋_GB2312"/>
          <w:kern w:val="2"/>
          <w:sz w:val="24"/>
          <w:szCs w:val="32"/>
          <w:lang w:val="en-US" w:eastAsia="zh-CN" w:bidi="ar-SA"/>
        </w:rPr>
      </w:pPr>
    </w:p>
    <w:p>
      <w:pPr>
        <w:pStyle w:val="2"/>
        <w:rPr>
          <w:rFonts w:hint="eastAsia" w:cs="仿宋_GB2312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cs="仿宋_GB2312"/>
          <w:kern w:val="2"/>
          <w:sz w:val="24"/>
          <w:szCs w:val="32"/>
          <w:lang w:val="en-US" w:eastAsia="zh-CN" w:bidi="ar-SA"/>
        </w:rPr>
      </w:pPr>
      <w:r>
        <w:rPr>
          <w:rFonts w:hint="eastAsia" w:cs="仿宋_GB2312"/>
          <w:kern w:val="2"/>
          <w:sz w:val="24"/>
          <w:szCs w:val="32"/>
          <w:lang w:val="en-US" w:eastAsia="zh-CN" w:bidi="ar-SA"/>
        </w:rPr>
        <w:t xml:space="preserve">      承诺人（盖章）：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仿宋_GB2312"/>
          <w:kern w:val="2"/>
          <w:sz w:val="24"/>
          <w:szCs w:val="32"/>
          <w:lang w:val="en-US" w:eastAsia="zh-CN" w:bidi="ar-SA"/>
        </w:rPr>
        <w:t xml:space="preserve">      法定代表人或授权签字人签字：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仿宋_GB2312"/>
          <w:kern w:val="2"/>
          <w:sz w:val="24"/>
          <w:szCs w:val="32"/>
          <w:lang w:val="en-US" w:eastAsia="zh-CN" w:bidi="ar-SA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营业执照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资质证书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56C14"/>
    <w:multiLevelType w:val="singleLevel"/>
    <w:tmpl w:val="35456C1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YjkzYjdmNmY5ODM1OWY2NzI0ZDNjMTU0NmQ5MjIifQ=="/>
    <w:docVar w:name="KSO_WPS_MARK_KEY" w:val="43a3f40c-2ab7-4be4-a2e1-c12a2dc41b03"/>
  </w:docVars>
  <w:rsids>
    <w:rsidRoot w:val="00172A27"/>
    <w:rsid w:val="00C13875"/>
    <w:rsid w:val="0274456B"/>
    <w:rsid w:val="040D3952"/>
    <w:rsid w:val="08F60EF9"/>
    <w:rsid w:val="0BAF1FE7"/>
    <w:rsid w:val="0FC46296"/>
    <w:rsid w:val="179D2477"/>
    <w:rsid w:val="18FE494E"/>
    <w:rsid w:val="258C27E7"/>
    <w:rsid w:val="26D905E2"/>
    <w:rsid w:val="2CA23638"/>
    <w:rsid w:val="2DF64EAB"/>
    <w:rsid w:val="2E067D39"/>
    <w:rsid w:val="3469789B"/>
    <w:rsid w:val="35FC0AD5"/>
    <w:rsid w:val="38192C96"/>
    <w:rsid w:val="3A4D7378"/>
    <w:rsid w:val="3B4D1E7A"/>
    <w:rsid w:val="3E5004EB"/>
    <w:rsid w:val="439F118E"/>
    <w:rsid w:val="44327E2C"/>
    <w:rsid w:val="44D333AB"/>
    <w:rsid w:val="454B4375"/>
    <w:rsid w:val="4AE25E02"/>
    <w:rsid w:val="4BFE594A"/>
    <w:rsid w:val="4C66762D"/>
    <w:rsid w:val="4CDA3D41"/>
    <w:rsid w:val="5208047A"/>
    <w:rsid w:val="53CA7933"/>
    <w:rsid w:val="55937FA9"/>
    <w:rsid w:val="566640FC"/>
    <w:rsid w:val="58182AD8"/>
    <w:rsid w:val="5D91586A"/>
    <w:rsid w:val="5D980465"/>
    <w:rsid w:val="5DDD0B0C"/>
    <w:rsid w:val="5F600A99"/>
    <w:rsid w:val="6202460F"/>
    <w:rsid w:val="683A41A3"/>
    <w:rsid w:val="68C678F0"/>
    <w:rsid w:val="69D6418F"/>
    <w:rsid w:val="71911C65"/>
    <w:rsid w:val="73FD1536"/>
    <w:rsid w:val="74506198"/>
    <w:rsid w:val="7580333E"/>
    <w:rsid w:val="7620518F"/>
    <w:rsid w:val="780B7492"/>
    <w:rsid w:val="79B47C69"/>
    <w:rsid w:val="7D535DB8"/>
    <w:rsid w:val="7EAA6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ascii="Calibri" w:hAnsi="Calibri" w:eastAsia="仿宋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0" w:firstLineChars="0"/>
      <w:jc w:val="left"/>
      <w:outlineLvl w:val="0"/>
    </w:pPr>
    <w:rPr>
      <w:b/>
      <w:kern w:val="44"/>
      <w:sz w:val="30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321" w:firstLineChars="100"/>
      <w:jc w:val="left"/>
      <w:outlineLvl w:val="1"/>
    </w:pPr>
    <w:rPr>
      <w:rFonts w:ascii="Arial" w:hAnsi="Arial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663" w:firstLineChars="150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3"/>
    </w:pPr>
    <w:rPr>
      <w:rFonts w:ascii="Arial" w:hAnsi="Arial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7">
    <w:name w:val="Title"/>
    <w:basedOn w:val="1"/>
    <w:next w:val="1"/>
    <w:qFormat/>
    <w:uiPriority w:val="0"/>
    <w:pPr>
      <w:spacing w:before="50" w:beforeLines="50" w:beforeAutospacing="0" w:after="100" w:afterLines="100" w:afterAutospacing="0"/>
      <w:ind w:firstLine="0" w:firstLineChars="0"/>
      <w:jc w:val="center"/>
      <w:outlineLvl w:val="0"/>
    </w:pPr>
    <w:rPr>
      <w:rFonts w:ascii="Arial" w:hAnsi="Arial" w:eastAsia="黑体"/>
      <w:b/>
      <w:sz w:val="36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link w:val="4"/>
    <w:qFormat/>
    <w:uiPriority w:val="0"/>
    <w:rPr>
      <w:rFonts w:ascii="Arial" w:hAnsi="Arial" w:eastAsia="仿宋"/>
      <w:b/>
      <w:sz w:val="28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893</Words>
  <Characters>908</Characters>
  <Lines>0</Lines>
  <Paragraphs>0</Paragraphs>
  <TotalTime>47</TotalTime>
  <ScaleCrop>false</ScaleCrop>
  <LinksUpToDate>false</LinksUpToDate>
  <CharactersWithSpaces>980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西红柿炒蛋</dc:creator>
  <cp:lastModifiedBy>执手看泪</cp:lastModifiedBy>
  <dcterms:modified xsi:type="dcterms:W3CDTF">2023-02-16T08:20:20Z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3EECF3C765CA453592DD8C20F41B6B54</vt:lpwstr>
  </property>
</Properties>
</file>